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55B7" w14:textId="77777777" w:rsidR="00601F92" w:rsidRDefault="00601F92" w:rsidP="00AB23F2">
      <w:pPr>
        <w:rPr>
          <w:rFonts w:ascii="Arial" w:hAnsi="Arial" w:cs="Arial"/>
        </w:rPr>
      </w:pPr>
    </w:p>
    <w:p w14:paraId="58E23A5A" w14:textId="77777777" w:rsidR="00AB23F2" w:rsidRPr="00C000DA" w:rsidRDefault="00AB23F2" w:rsidP="00AB23F2">
      <w:pPr>
        <w:rPr>
          <w:rFonts w:ascii="Arial" w:hAnsi="Arial" w:cs="Arial"/>
        </w:rPr>
      </w:pPr>
    </w:p>
    <w:tbl>
      <w:tblPr>
        <w:tblStyle w:val="TableGrid"/>
        <w:tblW w:w="0" w:type="auto"/>
        <w:tblLook w:val="04A0" w:firstRow="1" w:lastRow="0" w:firstColumn="1" w:lastColumn="0" w:noHBand="0" w:noVBand="1"/>
      </w:tblPr>
      <w:tblGrid>
        <w:gridCol w:w="9242"/>
      </w:tblGrid>
      <w:tr w:rsidR="00C000DA" w:rsidRPr="00C000DA" w14:paraId="479DA3C7" w14:textId="77777777" w:rsidTr="006C68D7">
        <w:tc>
          <w:tcPr>
            <w:tcW w:w="9242" w:type="dxa"/>
            <w:shd w:val="clear" w:color="auto" w:fill="DDD9C3" w:themeFill="background2" w:themeFillShade="E6"/>
          </w:tcPr>
          <w:p w14:paraId="79E5659C" w14:textId="77777777" w:rsidR="00C14FA8" w:rsidRPr="008F0348" w:rsidRDefault="00C14FA8" w:rsidP="00C14FA8">
            <w:pPr>
              <w:jc w:val="center"/>
              <w:rPr>
                <w:rFonts w:cs="Arial"/>
                <w:b/>
                <w:szCs w:val="24"/>
              </w:rPr>
            </w:pPr>
            <w:r w:rsidRPr="008F0348">
              <w:rPr>
                <w:rFonts w:cs="Arial"/>
                <w:b/>
                <w:szCs w:val="24"/>
              </w:rPr>
              <w:t>Job Description</w:t>
            </w:r>
          </w:p>
          <w:p w14:paraId="7078067C" w14:textId="77777777" w:rsidR="00C14FA8" w:rsidRPr="008F0348" w:rsidRDefault="00C14FA8">
            <w:pPr>
              <w:rPr>
                <w:rFonts w:cs="Arial"/>
                <w:szCs w:val="24"/>
              </w:rPr>
            </w:pPr>
          </w:p>
        </w:tc>
      </w:tr>
      <w:tr w:rsidR="00C000DA" w:rsidRPr="00C000DA" w14:paraId="6F9EE094" w14:textId="77777777" w:rsidTr="006C68D7">
        <w:tc>
          <w:tcPr>
            <w:tcW w:w="9242" w:type="dxa"/>
            <w:shd w:val="clear" w:color="auto" w:fill="EEECE1" w:themeFill="background2"/>
          </w:tcPr>
          <w:p w14:paraId="05A0F651" w14:textId="101D0988" w:rsidR="00C14FA8" w:rsidRPr="00F60EFF" w:rsidRDefault="00325F9D" w:rsidP="00C14FA8">
            <w:pPr>
              <w:jc w:val="center"/>
              <w:rPr>
                <w:rFonts w:cs="Arial"/>
                <w:b/>
                <w:szCs w:val="24"/>
              </w:rPr>
            </w:pPr>
            <w:r>
              <w:rPr>
                <w:rFonts w:cs="Arial"/>
                <w:b/>
                <w:szCs w:val="24"/>
              </w:rPr>
              <w:t xml:space="preserve">Head of </w:t>
            </w:r>
            <w:r w:rsidR="007F3374">
              <w:rPr>
                <w:rFonts w:cs="Arial"/>
                <w:b/>
                <w:szCs w:val="24"/>
              </w:rPr>
              <w:t>Data Protection</w:t>
            </w:r>
          </w:p>
          <w:p w14:paraId="0B163FEB" w14:textId="77777777" w:rsidR="00C14FA8" w:rsidRPr="008F0348" w:rsidRDefault="00C14FA8">
            <w:pPr>
              <w:rPr>
                <w:rFonts w:cs="Arial"/>
                <w:szCs w:val="24"/>
              </w:rPr>
            </w:pPr>
          </w:p>
        </w:tc>
      </w:tr>
      <w:tr w:rsidR="007F3374" w:rsidRPr="001C6A8E" w14:paraId="2996190E" w14:textId="77777777" w:rsidTr="00C14FA8">
        <w:tc>
          <w:tcPr>
            <w:tcW w:w="9242" w:type="dxa"/>
          </w:tcPr>
          <w:p w14:paraId="3D1A6F2C" w14:textId="77777777" w:rsidR="007F3374" w:rsidRPr="007F3374" w:rsidRDefault="00DA7828" w:rsidP="007F3374">
            <w:pPr>
              <w:rPr>
                <w:rFonts w:cs="Arial"/>
                <w:b/>
                <w:szCs w:val="24"/>
              </w:rPr>
            </w:pPr>
            <w:r>
              <w:rPr>
                <w:rFonts w:cs="Arial"/>
                <w:b/>
                <w:szCs w:val="24"/>
              </w:rPr>
              <w:t>Introduction</w:t>
            </w:r>
          </w:p>
          <w:p w14:paraId="3A27C9EB" w14:textId="77777777" w:rsidR="007F3374" w:rsidRPr="007F3374" w:rsidRDefault="007F3374" w:rsidP="007F3374">
            <w:pPr>
              <w:rPr>
                <w:rFonts w:cs="Arial"/>
                <w:szCs w:val="24"/>
              </w:rPr>
            </w:pPr>
          </w:p>
          <w:p w14:paraId="237A1B88" w14:textId="5F6844EF" w:rsidR="007F3374" w:rsidRPr="007F3374" w:rsidRDefault="007F3374" w:rsidP="007F3374">
            <w:pPr>
              <w:rPr>
                <w:rFonts w:cs="Arial"/>
                <w:szCs w:val="24"/>
              </w:rPr>
            </w:pPr>
            <w:r w:rsidRPr="007F3374">
              <w:rPr>
                <w:rFonts w:cs="Arial"/>
                <w:szCs w:val="24"/>
              </w:rPr>
              <w:t xml:space="preserve">Autism Initiatives is centrally headquartered in Merseyside, England, and the organisation is made up of a number of companies – mainly charities – which operate across England and Wales, Scotland, NI, ROI and Isle of Man.  We support autistic people and their families and carers in all these locations through provision of a range of innovative and bespoke services ranging from outreach supports, supported living, residential care, day opportunities, one-stop-shops, an autism diagnosis service (in Scotland), social enterprises and schools.  Most services are commissioned by local authorities or other state agencies and the majority of funding comes from these sources.  The organisation in England is subject to the DSPT NHS.  There are currently approximately </w:t>
            </w:r>
            <w:r w:rsidR="008E0068">
              <w:rPr>
                <w:rFonts w:cs="Arial"/>
                <w:szCs w:val="24"/>
              </w:rPr>
              <w:t>1091</w:t>
            </w:r>
            <w:r w:rsidRPr="007F3374">
              <w:rPr>
                <w:rFonts w:cs="Arial"/>
                <w:szCs w:val="24"/>
              </w:rPr>
              <w:t xml:space="preserve"> people supported by Autism Initiatives and approximately 2,500 people employed across the regions.  Information is currently held both electronically and in hard copy and much of the data held is special category in nature.  We are moving to full digitisation of records.</w:t>
            </w:r>
          </w:p>
          <w:p w14:paraId="1E7EFE1C" w14:textId="77777777" w:rsidR="007F3374" w:rsidRPr="007F3374" w:rsidRDefault="007F3374" w:rsidP="007F3374">
            <w:pPr>
              <w:rPr>
                <w:rFonts w:cs="Arial"/>
                <w:szCs w:val="24"/>
              </w:rPr>
            </w:pPr>
            <w:r w:rsidRPr="007F3374">
              <w:rPr>
                <w:rFonts w:cs="Arial"/>
                <w:szCs w:val="24"/>
              </w:rPr>
              <w:t xml:space="preserve">Due to rapid organic growth, the infrastructure around information governance has taken time to develop and is now expanding.  An Information Governance Group (IGG), chaired by the SIRO (CEO), is in place to manage and monitor information activities.  </w:t>
            </w:r>
          </w:p>
          <w:p w14:paraId="08E73983" w14:textId="77777777" w:rsidR="007F3374" w:rsidRPr="001C54DE" w:rsidRDefault="007F3374" w:rsidP="00BE1A64">
            <w:pPr>
              <w:jc w:val="both"/>
              <w:rPr>
                <w:rFonts w:cs="Arial"/>
                <w:b/>
              </w:rPr>
            </w:pPr>
          </w:p>
        </w:tc>
      </w:tr>
      <w:tr w:rsidR="00C000DA" w:rsidRPr="001C6A8E" w14:paraId="022A7F40" w14:textId="77777777" w:rsidTr="00C14FA8">
        <w:tc>
          <w:tcPr>
            <w:tcW w:w="9242" w:type="dxa"/>
          </w:tcPr>
          <w:p w14:paraId="7E4BE5FB" w14:textId="77777777" w:rsidR="00C14FA8" w:rsidRPr="00BE1A64" w:rsidRDefault="00C14FA8" w:rsidP="00C14FA8">
            <w:pPr>
              <w:rPr>
                <w:rFonts w:cs="Arial"/>
                <w:b/>
                <w:szCs w:val="24"/>
              </w:rPr>
            </w:pPr>
            <w:r w:rsidRPr="00BE1A64">
              <w:rPr>
                <w:rFonts w:cs="Arial"/>
                <w:b/>
                <w:szCs w:val="24"/>
              </w:rPr>
              <w:t>Location</w:t>
            </w:r>
            <w:r w:rsidR="00B65D41" w:rsidRPr="00BE1A64">
              <w:rPr>
                <w:rFonts w:cs="Arial"/>
                <w:b/>
                <w:szCs w:val="24"/>
              </w:rPr>
              <w:t xml:space="preserve"> / department</w:t>
            </w:r>
          </w:p>
          <w:p w14:paraId="40C2BB5B" w14:textId="77777777" w:rsidR="007F3374" w:rsidRPr="007F3374" w:rsidRDefault="007F3374" w:rsidP="007F3374">
            <w:pPr>
              <w:rPr>
                <w:rFonts w:cs="Arial"/>
                <w:szCs w:val="24"/>
              </w:rPr>
            </w:pPr>
            <w:r w:rsidRPr="007F3374">
              <w:rPr>
                <w:rFonts w:cs="Arial"/>
                <w:szCs w:val="24"/>
              </w:rPr>
              <w:t xml:space="preserve">The post holder may be located in </w:t>
            </w:r>
            <w:r w:rsidRPr="00325F9D">
              <w:rPr>
                <w:rFonts w:cs="Arial"/>
                <w:szCs w:val="24"/>
              </w:rPr>
              <w:t>either Liverpool or Belfast.</w:t>
            </w:r>
            <w:r w:rsidRPr="007F3374">
              <w:rPr>
                <w:rFonts w:cs="Arial"/>
                <w:szCs w:val="24"/>
              </w:rPr>
              <w:t xml:space="preserve">  Travel to the organisation’s various locations in all regions will be required from time to time for training delivery, on-site audits and meetings.  A hybrid working arrangement can be agreed which suits both operational requirements and the post holder.</w:t>
            </w:r>
          </w:p>
          <w:p w14:paraId="099A5E90" w14:textId="77777777" w:rsidR="00B4201F" w:rsidRPr="00B4201F" w:rsidRDefault="00B4201F">
            <w:pPr>
              <w:rPr>
                <w:rFonts w:cs="Arial"/>
                <w:szCs w:val="24"/>
              </w:rPr>
            </w:pPr>
          </w:p>
        </w:tc>
      </w:tr>
      <w:tr w:rsidR="00C000DA" w:rsidRPr="001C6A8E" w14:paraId="161FB56C" w14:textId="77777777" w:rsidTr="00C14FA8">
        <w:tc>
          <w:tcPr>
            <w:tcW w:w="9242" w:type="dxa"/>
          </w:tcPr>
          <w:p w14:paraId="336071EC" w14:textId="77777777" w:rsidR="004269E0" w:rsidRPr="00BE1A64" w:rsidRDefault="004269E0" w:rsidP="00C14FA8">
            <w:pPr>
              <w:rPr>
                <w:rFonts w:cs="Arial"/>
                <w:b/>
                <w:szCs w:val="24"/>
              </w:rPr>
            </w:pPr>
            <w:r w:rsidRPr="00BE1A64">
              <w:rPr>
                <w:rFonts w:cs="Arial"/>
                <w:b/>
                <w:szCs w:val="24"/>
              </w:rPr>
              <w:t>Line Manager</w:t>
            </w:r>
          </w:p>
          <w:p w14:paraId="15FF4301" w14:textId="77777777" w:rsidR="00487016" w:rsidRPr="007F3374" w:rsidRDefault="007F3374" w:rsidP="00A3683E">
            <w:pPr>
              <w:rPr>
                <w:rFonts w:cs="Arial"/>
              </w:rPr>
            </w:pPr>
            <w:r w:rsidRPr="007F3374">
              <w:rPr>
                <w:rFonts w:cs="Arial"/>
              </w:rPr>
              <w:t xml:space="preserve">Group Director – Corporate </w:t>
            </w:r>
          </w:p>
          <w:p w14:paraId="7CBA46CA" w14:textId="77777777" w:rsidR="00B4201F" w:rsidRDefault="00B4201F" w:rsidP="00A3683E">
            <w:pPr>
              <w:rPr>
                <w:rFonts w:cs="Arial"/>
                <w:color w:val="00B0F0"/>
              </w:rPr>
            </w:pPr>
          </w:p>
          <w:p w14:paraId="113AB3E3" w14:textId="77777777" w:rsidR="007F3374" w:rsidRPr="007F3374" w:rsidRDefault="007F3374" w:rsidP="00A3683E">
            <w:pPr>
              <w:rPr>
                <w:rFonts w:cs="Arial"/>
                <w:b/>
              </w:rPr>
            </w:pPr>
            <w:r w:rsidRPr="007F3374">
              <w:rPr>
                <w:rFonts w:cs="Arial"/>
                <w:b/>
              </w:rPr>
              <w:t xml:space="preserve">Reporting and working arrangements </w:t>
            </w:r>
          </w:p>
          <w:p w14:paraId="1413D2BA" w14:textId="77777777" w:rsidR="007F3374" w:rsidRDefault="007F3374" w:rsidP="00A3683E">
            <w:pPr>
              <w:rPr>
                <w:rFonts w:cs="Arial"/>
                <w:color w:val="00B0F0"/>
              </w:rPr>
            </w:pPr>
          </w:p>
          <w:p w14:paraId="5787D314" w14:textId="77777777" w:rsidR="007F3374" w:rsidRPr="007F3374" w:rsidRDefault="007F3374" w:rsidP="007F3374">
            <w:pPr>
              <w:pStyle w:val="ListParagraph"/>
              <w:numPr>
                <w:ilvl w:val="0"/>
                <w:numId w:val="23"/>
              </w:numPr>
              <w:spacing w:after="160" w:line="259" w:lineRule="auto"/>
              <w:rPr>
                <w:rFonts w:cs="Arial"/>
                <w:szCs w:val="24"/>
              </w:rPr>
            </w:pPr>
            <w:r w:rsidRPr="007F3374">
              <w:rPr>
                <w:rFonts w:cs="Arial"/>
                <w:szCs w:val="24"/>
              </w:rPr>
              <w:t>be accountable to the Board of Trustees through the Senior Information Risk Owner (SIRO) (the CEO)</w:t>
            </w:r>
          </w:p>
          <w:p w14:paraId="10B9983C" w14:textId="77777777" w:rsidR="007F3374" w:rsidRPr="007F3374" w:rsidRDefault="007F3374" w:rsidP="007F3374">
            <w:pPr>
              <w:pStyle w:val="ListParagraph"/>
              <w:numPr>
                <w:ilvl w:val="0"/>
                <w:numId w:val="23"/>
              </w:numPr>
              <w:spacing w:after="160" w:line="259" w:lineRule="auto"/>
              <w:rPr>
                <w:rFonts w:cs="Arial"/>
                <w:szCs w:val="24"/>
              </w:rPr>
            </w:pPr>
            <w:r w:rsidRPr="007F3374">
              <w:rPr>
                <w:rFonts w:cs="Arial"/>
                <w:szCs w:val="24"/>
              </w:rPr>
              <w:t>report to the Group Corporate Director</w:t>
            </w:r>
          </w:p>
          <w:p w14:paraId="3B11F3D7" w14:textId="755A7219" w:rsidR="007F3374" w:rsidRPr="007F3374" w:rsidRDefault="007F3374" w:rsidP="007F3374">
            <w:pPr>
              <w:pStyle w:val="ListParagraph"/>
              <w:numPr>
                <w:ilvl w:val="0"/>
                <w:numId w:val="23"/>
              </w:numPr>
              <w:spacing w:after="160" w:line="259" w:lineRule="auto"/>
              <w:rPr>
                <w:rFonts w:cs="Arial"/>
                <w:szCs w:val="24"/>
              </w:rPr>
            </w:pPr>
            <w:r w:rsidRPr="007F3374">
              <w:rPr>
                <w:rFonts w:cs="Arial"/>
                <w:szCs w:val="24"/>
              </w:rPr>
              <w:t>work collaboratively with the Group Director o</w:t>
            </w:r>
            <w:r w:rsidR="00325F9D">
              <w:rPr>
                <w:rFonts w:cs="Arial"/>
                <w:szCs w:val="24"/>
              </w:rPr>
              <w:t>f</w:t>
            </w:r>
            <w:r w:rsidRPr="007F3374">
              <w:rPr>
                <w:rFonts w:cs="Arial"/>
                <w:szCs w:val="24"/>
              </w:rPr>
              <w:t xml:space="preserve"> Finance &amp; IT, Group Head of IT, Group Data Strategy Manager, Group Procurement Manager, Group Corporate Director, the wider executive director team and other staff as appropriate </w:t>
            </w:r>
          </w:p>
          <w:p w14:paraId="3AC441DE" w14:textId="77777777" w:rsidR="007F3374" w:rsidRPr="00B4201F" w:rsidRDefault="007F3374" w:rsidP="00A3683E">
            <w:pPr>
              <w:rPr>
                <w:rFonts w:cs="Arial"/>
                <w:color w:val="00B0F0"/>
              </w:rPr>
            </w:pPr>
          </w:p>
        </w:tc>
      </w:tr>
      <w:tr w:rsidR="001C6A8E" w:rsidRPr="001C6A8E" w14:paraId="71F278E2" w14:textId="77777777" w:rsidTr="00C14FA8">
        <w:tc>
          <w:tcPr>
            <w:tcW w:w="9242" w:type="dxa"/>
          </w:tcPr>
          <w:p w14:paraId="597FA68E" w14:textId="77777777" w:rsidR="001C6A8E" w:rsidRPr="00BE1A64" w:rsidRDefault="007F3374" w:rsidP="001C6A8E">
            <w:pPr>
              <w:rPr>
                <w:rFonts w:cs="Arial"/>
                <w:b/>
              </w:rPr>
            </w:pPr>
            <w:r>
              <w:rPr>
                <w:rFonts w:cs="Arial"/>
                <w:b/>
              </w:rPr>
              <w:t xml:space="preserve">Job Purpose </w:t>
            </w:r>
          </w:p>
          <w:p w14:paraId="112589E1" w14:textId="77777777" w:rsidR="007F3374" w:rsidRDefault="007F3374" w:rsidP="007F3374">
            <w:pPr>
              <w:rPr>
                <w:rFonts w:cs="Arial"/>
                <w:b/>
              </w:rPr>
            </w:pPr>
          </w:p>
          <w:p w14:paraId="68272C9E" w14:textId="77777777" w:rsidR="007F3374" w:rsidRDefault="007F3374" w:rsidP="007F3374">
            <w:pPr>
              <w:rPr>
                <w:rFonts w:cs="Arial"/>
                <w:szCs w:val="24"/>
              </w:rPr>
            </w:pPr>
            <w:r w:rsidRPr="007F3374">
              <w:rPr>
                <w:rFonts w:cs="Arial"/>
                <w:szCs w:val="24"/>
              </w:rPr>
              <w:t xml:space="preserve">The post holder will be the senior professional lead for the development and delivery of an effective information governance strategy within Autism Initiatives. </w:t>
            </w:r>
          </w:p>
          <w:p w14:paraId="41E785DC" w14:textId="77777777" w:rsidR="007F3374" w:rsidRDefault="007F3374" w:rsidP="007F3374">
            <w:pPr>
              <w:rPr>
                <w:rFonts w:cs="Arial"/>
                <w:szCs w:val="24"/>
              </w:rPr>
            </w:pPr>
          </w:p>
          <w:p w14:paraId="6A07284E" w14:textId="77777777" w:rsidR="007F3374" w:rsidRPr="007F3374" w:rsidRDefault="007F3374" w:rsidP="007F3374">
            <w:pPr>
              <w:rPr>
                <w:rFonts w:cs="Arial"/>
                <w:szCs w:val="24"/>
              </w:rPr>
            </w:pPr>
            <w:r w:rsidRPr="007F3374">
              <w:rPr>
                <w:rFonts w:cs="Arial"/>
                <w:szCs w:val="24"/>
              </w:rPr>
              <w:t xml:space="preserve">Data protection law and practice across all the jurisdictions in the Autism Initiatives Group (UK, ROI, IOM) is derived from EU law and, currently, diversification is minimal.  It is, however, required that the post holder will keep abreast of any changes and developments in the legislation in the various regions and adapt their practice accordingly.  </w:t>
            </w:r>
          </w:p>
          <w:p w14:paraId="2FA21AF1" w14:textId="77777777" w:rsidR="007F3374" w:rsidRPr="007F3374" w:rsidRDefault="007F3374" w:rsidP="007F3374">
            <w:pPr>
              <w:rPr>
                <w:rFonts w:cs="Arial"/>
                <w:szCs w:val="24"/>
              </w:rPr>
            </w:pPr>
          </w:p>
          <w:p w14:paraId="78F06AE3" w14:textId="77777777" w:rsidR="007F3374" w:rsidRPr="007F3374" w:rsidRDefault="007F3374" w:rsidP="007F3374">
            <w:pPr>
              <w:rPr>
                <w:rFonts w:cs="Arial"/>
                <w:szCs w:val="24"/>
              </w:rPr>
            </w:pPr>
            <w:r w:rsidRPr="007F3374">
              <w:rPr>
                <w:rFonts w:cs="Arial"/>
                <w:szCs w:val="24"/>
              </w:rPr>
              <w:lastRenderedPageBreak/>
              <w:t>The role includes responsibility for assisting senior management in:</w:t>
            </w:r>
          </w:p>
          <w:p w14:paraId="3A41706A"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 xml:space="preserve">providing strategic leadership for information governance </w:t>
            </w:r>
          </w:p>
          <w:p w14:paraId="7B826659"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working to ensure that excellence in information governance becomes culturally embedded in the organisation and setting targets and measures to achieve this</w:t>
            </w:r>
          </w:p>
          <w:p w14:paraId="549D6E59"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 xml:space="preserve">developing the information governance strategy and delivering it across the organisation (England &amp; Wales, Scotland, NI, </w:t>
            </w:r>
            <w:proofErr w:type="spellStart"/>
            <w:r w:rsidRPr="007F3374">
              <w:rPr>
                <w:rFonts w:cs="Arial"/>
                <w:szCs w:val="24"/>
              </w:rPr>
              <w:t>RoI</w:t>
            </w:r>
            <w:proofErr w:type="spellEnd"/>
            <w:r w:rsidRPr="007F3374">
              <w:rPr>
                <w:rFonts w:cs="Arial"/>
                <w:szCs w:val="24"/>
              </w:rPr>
              <w:t xml:space="preserve"> and IOM) </w:t>
            </w:r>
          </w:p>
          <w:p w14:paraId="369F3CA7"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establishing and maintaining a comprehensive Information Governance Risk Register</w:t>
            </w:r>
          </w:p>
          <w:p w14:paraId="15E690DD"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 xml:space="preserve">in collaboration with others, setting KPIs for information governance </w:t>
            </w:r>
          </w:p>
          <w:p w14:paraId="4950189F"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providing reports to the highest level of management – the trustee boards - on the performance of the organisation on the KPIs and the risks and mitigation measures</w:t>
            </w:r>
          </w:p>
          <w:p w14:paraId="20CD574B"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developing and managing processes and procedures to ensure that data subject rights are upheld, including, but not limited to, data subject access requests (DSARs)</w:t>
            </w:r>
          </w:p>
          <w:p w14:paraId="009A8F53"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managing data breaches</w:t>
            </w:r>
          </w:p>
          <w:p w14:paraId="447903AC"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carrying out data privacy impact assessments (DPIAs)</w:t>
            </w:r>
          </w:p>
          <w:p w14:paraId="718EB0E1"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overseeing a suitable retention, archiving and certified destruction regime across the group for both paper and electronic records including reviewing what is in place currently with a view to improvement/development</w:t>
            </w:r>
          </w:p>
          <w:p w14:paraId="0A24936A"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assisting the organisation in its move towards integrated electronic data management and away from paper-based records management</w:t>
            </w:r>
          </w:p>
          <w:p w14:paraId="3837FDBC"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developing good data flow management processes</w:t>
            </w:r>
          </w:p>
          <w:p w14:paraId="570DDFED"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devising and providing training in information governance to all departments in all regions and providing bespoke training to certain roles, where applicable</w:t>
            </w:r>
          </w:p>
          <w:p w14:paraId="4A545DA4"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undertaking audits and spot checks on a range of locations to assess compliance and encourage good practices</w:t>
            </w:r>
          </w:p>
          <w:p w14:paraId="21992E8D" w14:textId="77777777" w:rsidR="007F3374" w:rsidRPr="007F3374" w:rsidRDefault="007F3374" w:rsidP="007F3374">
            <w:pPr>
              <w:pStyle w:val="ListParagraph"/>
              <w:numPr>
                <w:ilvl w:val="0"/>
                <w:numId w:val="19"/>
              </w:numPr>
              <w:spacing w:after="160" w:line="259" w:lineRule="auto"/>
              <w:rPr>
                <w:rFonts w:cs="Arial"/>
                <w:szCs w:val="24"/>
              </w:rPr>
            </w:pPr>
            <w:r w:rsidRPr="007F3374">
              <w:rPr>
                <w:rFonts w:cs="Arial"/>
                <w:szCs w:val="24"/>
              </w:rPr>
              <w:t xml:space="preserve">carrying out any such duties as may arise within the scope of the role </w:t>
            </w:r>
          </w:p>
          <w:p w14:paraId="0C9BA620" w14:textId="77777777" w:rsidR="007F3374" w:rsidRPr="007F3374" w:rsidRDefault="007F3374" w:rsidP="007F3374">
            <w:pPr>
              <w:rPr>
                <w:rFonts w:cs="Arial"/>
                <w:sz w:val="20"/>
                <w:szCs w:val="24"/>
              </w:rPr>
            </w:pPr>
          </w:p>
          <w:p w14:paraId="4A40D75E" w14:textId="77777777" w:rsidR="007179D7" w:rsidRDefault="007179D7" w:rsidP="00BE1A64">
            <w:pPr>
              <w:rPr>
                <w:rFonts w:ascii="Arial" w:hAnsi="Arial" w:cs="Arial"/>
                <w:b/>
              </w:rPr>
            </w:pPr>
          </w:p>
          <w:p w14:paraId="3492FE67" w14:textId="77777777" w:rsidR="007F3374" w:rsidRDefault="007F3374" w:rsidP="00BE1A64">
            <w:pPr>
              <w:rPr>
                <w:rFonts w:ascii="Arial" w:hAnsi="Arial" w:cs="Arial"/>
                <w:b/>
              </w:rPr>
            </w:pPr>
          </w:p>
          <w:p w14:paraId="06367350" w14:textId="77777777" w:rsidR="007F3374" w:rsidRPr="007179D7" w:rsidRDefault="007F3374" w:rsidP="00BE1A64">
            <w:pPr>
              <w:rPr>
                <w:rFonts w:ascii="Arial" w:hAnsi="Arial" w:cs="Arial"/>
                <w:b/>
              </w:rPr>
            </w:pPr>
          </w:p>
        </w:tc>
      </w:tr>
      <w:tr w:rsidR="00C000DA" w:rsidRPr="001C6A8E" w14:paraId="0EBCB355" w14:textId="77777777" w:rsidTr="00C14FA8">
        <w:tc>
          <w:tcPr>
            <w:tcW w:w="9242" w:type="dxa"/>
          </w:tcPr>
          <w:p w14:paraId="7E147879" w14:textId="77777777" w:rsidR="009469FB" w:rsidRDefault="004569C5" w:rsidP="004569C5">
            <w:pPr>
              <w:jc w:val="both"/>
              <w:rPr>
                <w:rFonts w:eastAsia="Times New Roman" w:cs="Arial"/>
                <w:b/>
                <w:bCs/>
              </w:rPr>
            </w:pPr>
            <w:r w:rsidRPr="00BE1A64">
              <w:rPr>
                <w:rFonts w:eastAsia="Times New Roman" w:cs="Arial"/>
                <w:b/>
                <w:bCs/>
              </w:rPr>
              <w:lastRenderedPageBreak/>
              <w:t>Main Duties and Responsibilities</w:t>
            </w:r>
          </w:p>
          <w:p w14:paraId="725EBC41" w14:textId="77777777" w:rsidR="008801B7" w:rsidRDefault="008801B7" w:rsidP="004569C5">
            <w:pPr>
              <w:jc w:val="both"/>
              <w:rPr>
                <w:rFonts w:eastAsia="Times New Roman" w:cs="Arial"/>
                <w:b/>
                <w:bCs/>
              </w:rPr>
            </w:pPr>
          </w:p>
          <w:p w14:paraId="37690505" w14:textId="77777777" w:rsidR="007F3374" w:rsidRPr="007F3374" w:rsidRDefault="007F3374" w:rsidP="007F3374">
            <w:pPr>
              <w:rPr>
                <w:rFonts w:cs="Arial"/>
              </w:rPr>
            </w:pPr>
            <w:r w:rsidRPr="007F3374">
              <w:rPr>
                <w:rFonts w:cs="Arial"/>
              </w:rPr>
              <w:t xml:space="preserve">Day to day the post holder will work closely with other departments and post holders within the organisation such as HR, IT, Learning &amp; Development, Marketing and operational staff.  They will also liaise as necessary with external partner agencies’ DPOs and equivalents.  Additionally they will be expected to work with all senior staff in the organisation across various departments.  </w:t>
            </w:r>
          </w:p>
          <w:p w14:paraId="52F270F3" w14:textId="77777777" w:rsidR="007F3374" w:rsidRPr="007F3374" w:rsidRDefault="007F3374" w:rsidP="007F3374">
            <w:pPr>
              <w:rPr>
                <w:rFonts w:cs="Arial"/>
              </w:rPr>
            </w:pPr>
          </w:p>
          <w:p w14:paraId="39E3F5D7" w14:textId="77777777" w:rsidR="007F3374" w:rsidRPr="007F3374" w:rsidRDefault="007F3374" w:rsidP="007F3374">
            <w:pPr>
              <w:rPr>
                <w:rFonts w:cs="Arial"/>
              </w:rPr>
            </w:pPr>
            <w:r w:rsidRPr="007F3374">
              <w:rPr>
                <w:rFonts w:cs="Arial"/>
              </w:rPr>
              <w:t>The Data Protection Officer is directly available to all data subjects both within and without the organisation and will also assist agencies, such as local authorities with whom we contract, to respond to any Freedom of Information requests.</w:t>
            </w:r>
          </w:p>
          <w:p w14:paraId="795B1198" w14:textId="77777777" w:rsidR="007F3374" w:rsidRPr="007F3374" w:rsidRDefault="007F3374" w:rsidP="007F3374">
            <w:pPr>
              <w:rPr>
                <w:rFonts w:cs="Arial"/>
              </w:rPr>
            </w:pPr>
            <w:r w:rsidRPr="007F3374">
              <w:rPr>
                <w:rFonts w:cs="Arial"/>
              </w:rPr>
              <w:t xml:space="preserve">The role requires knowledge of the legislation and regulations in data protection as well as proven experience of working in information governance compliance within a similar business or sector.  </w:t>
            </w:r>
          </w:p>
          <w:p w14:paraId="35BEE1EA" w14:textId="77777777" w:rsidR="007F3374" w:rsidRPr="007F3374" w:rsidRDefault="007F3374" w:rsidP="007F3374">
            <w:pPr>
              <w:rPr>
                <w:rFonts w:cs="Arial"/>
              </w:rPr>
            </w:pPr>
          </w:p>
          <w:p w14:paraId="76EDA4D9" w14:textId="77777777" w:rsidR="007F3374" w:rsidRPr="007F3374" w:rsidRDefault="007F3374" w:rsidP="007F3374">
            <w:pPr>
              <w:rPr>
                <w:rFonts w:cs="Arial"/>
              </w:rPr>
            </w:pPr>
            <w:r w:rsidRPr="007F3374">
              <w:rPr>
                <w:rFonts w:cs="Arial"/>
              </w:rPr>
              <w:t xml:space="preserve">The role involves closely working in support of the SIRO, as well as with the Group Corporate Director, who is the current DPO and is also the Caldicott Guardian.  </w:t>
            </w:r>
          </w:p>
          <w:p w14:paraId="15DA06AE" w14:textId="77777777" w:rsidR="007F3374" w:rsidRPr="007F3374" w:rsidRDefault="007F3374" w:rsidP="007F3374">
            <w:pPr>
              <w:rPr>
                <w:rFonts w:cs="Arial"/>
              </w:rPr>
            </w:pPr>
          </w:p>
          <w:p w14:paraId="683EFFC6" w14:textId="77777777" w:rsidR="007F3374" w:rsidRPr="007F3374" w:rsidRDefault="007F3374" w:rsidP="007F3374">
            <w:pPr>
              <w:rPr>
                <w:rFonts w:cs="Arial"/>
              </w:rPr>
            </w:pPr>
            <w:r w:rsidRPr="007F3374">
              <w:rPr>
                <w:rFonts w:cs="Arial"/>
              </w:rPr>
              <w:t xml:space="preserve">Whilst not limited to the following, the post holder will be required to: </w:t>
            </w:r>
          </w:p>
          <w:p w14:paraId="53E74278"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significantly participate in the organisation’s Information Governance Group (IGG) and help to develop same to best meet the organisational needs and meet legal and regulatory compliance.</w:t>
            </w:r>
          </w:p>
          <w:p w14:paraId="69EDD2E1"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lastRenderedPageBreak/>
              <w:t xml:space="preserve">develop and deliver the mandatory information governance and information security training programme for all staff in the organisation. </w:t>
            </w:r>
          </w:p>
          <w:p w14:paraId="63BFE10C"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work with Human Resources to ensure that contracts of employment and contracts for services are reviewed to include any new aspects of information governance which may be necessary.</w:t>
            </w:r>
          </w:p>
          <w:p w14:paraId="532964FF"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along with the IT department, the Group Data Strategy Manager and the Procurement Manager, interrogate external supply contracts for information governance and information security commitment and compliance.</w:t>
            </w:r>
          </w:p>
          <w:p w14:paraId="76146A18"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assist internal asset owners to conduct timely data protection impact assessments (DPIAs) on new systems and applications, where necessary, to obtain assurance of third party processor compliance with data security requirements.</w:t>
            </w:r>
          </w:p>
          <w:p w14:paraId="0837044C" w14:textId="77777777" w:rsidR="007F3374" w:rsidRPr="007F3374" w:rsidRDefault="007F3374" w:rsidP="007F3374">
            <w:pPr>
              <w:pStyle w:val="ListParagraph"/>
              <w:numPr>
                <w:ilvl w:val="0"/>
                <w:numId w:val="25"/>
              </w:numPr>
              <w:shd w:val="clear" w:color="auto" w:fill="FFFFFF"/>
              <w:spacing w:after="160" w:line="288" w:lineRule="atLeast"/>
              <w:rPr>
                <w:rFonts w:cs="Arial"/>
              </w:rPr>
            </w:pPr>
            <w:r w:rsidRPr="007F3374">
              <w:rPr>
                <w:rFonts w:cs="Arial"/>
              </w:rPr>
              <w:t xml:space="preserve">provide specialist advice, guidance and support to the SIRO, boards, sub-committees, managers, in all aspects of information governance and information security and the associated legislation.  This includes UK GDPR, EU GDPR, Data Protection Acts (all jurisdictions), Common Law Duty of Confidence, Freedom of Information Acts, </w:t>
            </w:r>
            <w:r w:rsidRPr="007F3374">
              <w:rPr>
                <w:rFonts w:eastAsia="Times New Roman" w:cs="Arial"/>
                <w:kern w:val="36"/>
                <w:lang w:eastAsia="en-GB"/>
              </w:rPr>
              <w:t>Privacy and Electronic Communications Regulations 2003 (</w:t>
            </w:r>
            <w:r w:rsidRPr="007F3374">
              <w:rPr>
                <w:rFonts w:cs="Arial"/>
              </w:rPr>
              <w:t>PECR),  Duty of Candour as well as good practice guidance.</w:t>
            </w:r>
          </w:p>
          <w:p w14:paraId="41AC888A"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play a significant role in the control of artificial intelligence use in the organisation, whilst assisting the organisation to use it for its benefit</w:t>
            </w:r>
          </w:p>
          <w:p w14:paraId="12FEE110"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manage the data breach reporting and response processes and provide an investigatory service into matters where potential breaches of confidentiality or data protection legislation and other information governance are raised.</w:t>
            </w:r>
          </w:p>
          <w:p w14:paraId="570CEEDD"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manage information security incidents, or assist with such management as the case may be. </w:t>
            </w:r>
          </w:p>
          <w:p w14:paraId="26347C23"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provide advice on measures and controls which may be used to mitigate further risk to information security. </w:t>
            </w:r>
          </w:p>
          <w:p w14:paraId="468B1B1D"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provide a service which efficiently and effectively responds to all Data Subject Access Requests (DSARs), and other data subject rights requests, advise on redactions and appropriate responses and ensure that responses are treated in a secure and sympathetic manner in compliance with the requirements of the Acts. </w:t>
            </w:r>
          </w:p>
          <w:p w14:paraId="619BFD8D"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with colleagues, review and implement contingency planning, business continuity management, cyber testing and IT disaster recovery.</w:t>
            </w:r>
          </w:p>
          <w:p w14:paraId="385AF825"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support asset holders in carrying out Data Protection Impact Assessments (DPIAs).</w:t>
            </w:r>
          </w:p>
          <w:p w14:paraId="14EE68D4"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assist the Procurement Manager and/or IT department in assessing potential contracts for data protection compliance, including third party processing compliance with GDPR.</w:t>
            </w:r>
          </w:p>
          <w:p w14:paraId="19384823"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develop and maintain the information governance (“data protection”) material on the corporate Intranet (Aimi).  </w:t>
            </w:r>
          </w:p>
          <w:p w14:paraId="1F342642"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liaise with the IT and Marketing teams in cascading key messaging on information security and compliance with data protection. </w:t>
            </w:r>
          </w:p>
          <w:p w14:paraId="2EAC66A7"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assist with appropriate disciplinary investigations where data protection issues are a feature.</w:t>
            </w:r>
          </w:p>
          <w:p w14:paraId="26EAE2BF"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respond to complaints (or relevant parts of complaints) which reference data protection. </w:t>
            </w:r>
          </w:p>
          <w:p w14:paraId="1C097735"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provide support and guidance to all senior managers on matters of information governance.</w:t>
            </w:r>
          </w:p>
          <w:p w14:paraId="322EDA1C"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train groups of staff and give presentations on a regular basis in such a way that staff not only have appropriate training but they are also applying security measures as a matter of routine. </w:t>
            </w:r>
          </w:p>
          <w:p w14:paraId="4A72444E"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establish levels of information security awareness and enforcement throughout the organisation through conducting of audits and checks</w:t>
            </w:r>
          </w:p>
          <w:p w14:paraId="1CB33FE7"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help to develop processes and protocols to ensure information access is restricted to “right person, right time”.</w:t>
            </w:r>
          </w:p>
          <w:p w14:paraId="23A7330C"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lastRenderedPageBreak/>
              <w:t>work to put in place any other policies or infrastructure considered necessary to enable the organisation to meet its obligations and responsibilities.</w:t>
            </w:r>
          </w:p>
          <w:p w14:paraId="605E1AB1"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work with the Caldicott Guardian as required.</w:t>
            </w:r>
          </w:p>
          <w:p w14:paraId="1532CF25" w14:textId="77777777" w:rsidR="007F3374" w:rsidRPr="007F3374" w:rsidRDefault="007F3374" w:rsidP="007F3374">
            <w:pPr>
              <w:pStyle w:val="ListParagraph"/>
              <w:numPr>
                <w:ilvl w:val="0"/>
                <w:numId w:val="25"/>
              </w:numPr>
              <w:spacing w:after="160" w:line="259" w:lineRule="auto"/>
              <w:rPr>
                <w:rFonts w:cs="Arial"/>
              </w:rPr>
            </w:pPr>
            <w:r w:rsidRPr="007F3374">
              <w:rPr>
                <w:rFonts w:cs="Arial"/>
              </w:rPr>
              <w:t xml:space="preserve">undertake any reasonable additional duties which may relate to the role. </w:t>
            </w:r>
          </w:p>
          <w:p w14:paraId="594185EC" w14:textId="77777777" w:rsidR="007F3374" w:rsidRDefault="007F3374" w:rsidP="007F3374">
            <w:pPr>
              <w:pStyle w:val="ListParagraph"/>
              <w:rPr>
                <w:rFonts w:ascii="Arial" w:hAnsi="Arial" w:cs="Arial"/>
                <w:sz w:val="24"/>
                <w:szCs w:val="24"/>
              </w:rPr>
            </w:pPr>
          </w:p>
          <w:p w14:paraId="41BB9383" w14:textId="77777777" w:rsidR="007F3374" w:rsidRPr="00A91FC1" w:rsidRDefault="007F3374" w:rsidP="007F3374">
            <w:pPr>
              <w:pStyle w:val="ListParagraph"/>
              <w:rPr>
                <w:rFonts w:ascii="Arial" w:hAnsi="Arial" w:cs="Arial"/>
                <w:sz w:val="24"/>
                <w:szCs w:val="24"/>
              </w:rPr>
            </w:pPr>
          </w:p>
          <w:p w14:paraId="5416EE31" w14:textId="77777777" w:rsidR="000B0097" w:rsidRPr="007F3374" w:rsidRDefault="000B0097" w:rsidP="007F3374">
            <w:pPr>
              <w:jc w:val="both"/>
              <w:rPr>
                <w:rFonts w:ascii="Arial" w:hAnsi="Arial" w:cs="Arial"/>
              </w:rPr>
            </w:pPr>
          </w:p>
        </w:tc>
      </w:tr>
      <w:tr w:rsidR="00B4201F" w:rsidRPr="001C6A8E" w14:paraId="309A0F8F" w14:textId="77777777" w:rsidTr="00C14FA8">
        <w:tc>
          <w:tcPr>
            <w:tcW w:w="9242" w:type="dxa"/>
          </w:tcPr>
          <w:p w14:paraId="78387C12" w14:textId="77777777" w:rsidR="00B4201F" w:rsidRPr="009921FE" w:rsidRDefault="00B4201F" w:rsidP="00B4201F">
            <w:pPr>
              <w:jc w:val="both"/>
              <w:rPr>
                <w:rFonts w:cs="Arial"/>
              </w:rPr>
            </w:pPr>
            <w:r w:rsidRPr="009921FE">
              <w:rPr>
                <w:rFonts w:cs="Arial"/>
              </w:rPr>
              <w:lastRenderedPageBreak/>
              <w:t>It is the nature of the work of the post that tasks and responsibilities are, in many circumstances, unpredictable and varied. The post holder will therefore be expected to work in a flexible way when the occasion arises that tasks which are not specifically covered in their job description, have to be undertaken.</w:t>
            </w:r>
          </w:p>
          <w:p w14:paraId="29FCC796" w14:textId="77777777" w:rsidR="00B4201F" w:rsidRPr="009921FE" w:rsidRDefault="00B4201F" w:rsidP="00B4201F">
            <w:pPr>
              <w:jc w:val="both"/>
              <w:rPr>
                <w:rFonts w:cs="Arial"/>
              </w:rPr>
            </w:pPr>
            <w:r w:rsidRPr="009921FE">
              <w:rPr>
                <w:rFonts w:cs="Arial"/>
              </w:rPr>
              <w:t xml:space="preserve">These additional duties will normally be to cover unforeseen circumstances or changes in work and they will normally be compatible with the regular type of work.  </w:t>
            </w:r>
          </w:p>
          <w:p w14:paraId="61818182" w14:textId="77777777" w:rsidR="00B4201F" w:rsidRPr="009921FE" w:rsidRDefault="00B4201F" w:rsidP="00B4201F">
            <w:pPr>
              <w:jc w:val="both"/>
              <w:rPr>
                <w:rFonts w:cs="Arial"/>
              </w:rPr>
            </w:pPr>
          </w:p>
          <w:p w14:paraId="40524506" w14:textId="77777777" w:rsidR="00B4201F" w:rsidRPr="009921FE" w:rsidRDefault="00B4201F" w:rsidP="00B4201F">
            <w:pPr>
              <w:jc w:val="both"/>
              <w:rPr>
                <w:rFonts w:cs="Arial"/>
              </w:rPr>
            </w:pPr>
            <w:r w:rsidRPr="009921FE">
              <w:rPr>
                <w:rFonts w:cs="Arial"/>
              </w:rPr>
              <w:t>The job description may also be reviewed in light of changing service needs or developments in consultation with the post holder.</w:t>
            </w:r>
          </w:p>
          <w:p w14:paraId="2F2EC721" w14:textId="77777777" w:rsidR="00B4201F" w:rsidRPr="00BE1A64" w:rsidRDefault="00B4201F" w:rsidP="00B4201F">
            <w:pPr>
              <w:jc w:val="both"/>
              <w:rPr>
                <w:rFonts w:eastAsia="Times New Roman" w:cs="Arial"/>
                <w:b/>
                <w:bCs/>
              </w:rPr>
            </w:pPr>
          </w:p>
        </w:tc>
      </w:tr>
      <w:tr w:rsidR="00B4201F" w:rsidRPr="001C6A8E" w14:paraId="2528DDEF" w14:textId="77777777" w:rsidTr="00C14FA8">
        <w:tc>
          <w:tcPr>
            <w:tcW w:w="9242" w:type="dxa"/>
          </w:tcPr>
          <w:p w14:paraId="2153C13C" w14:textId="6A298D54" w:rsidR="00B4201F" w:rsidRPr="009921FE" w:rsidRDefault="00B4201F" w:rsidP="00B4201F">
            <w:pPr>
              <w:rPr>
                <w:rFonts w:cs="Arial"/>
                <w:sz w:val="24"/>
                <w:szCs w:val="24"/>
              </w:rPr>
            </w:pPr>
            <w:r w:rsidRPr="009921FE">
              <w:rPr>
                <w:rFonts w:cs="Arial"/>
                <w:b/>
                <w:szCs w:val="24"/>
              </w:rPr>
              <w:t>Date reviewed:</w:t>
            </w:r>
            <w:r w:rsidRPr="009921FE">
              <w:rPr>
                <w:rFonts w:cs="Arial"/>
                <w:szCs w:val="24"/>
              </w:rPr>
              <w:t xml:space="preserve"> </w:t>
            </w:r>
            <w:r w:rsidR="00325F9D">
              <w:rPr>
                <w:rFonts w:cs="Arial"/>
                <w:szCs w:val="24"/>
              </w:rPr>
              <w:t>January 2025</w:t>
            </w:r>
            <w:r w:rsidRPr="009921FE">
              <w:rPr>
                <w:rFonts w:cs="Arial"/>
                <w:szCs w:val="24"/>
              </w:rPr>
              <w:t xml:space="preserve"> </w:t>
            </w:r>
          </w:p>
        </w:tc>
      </w:tr>
    </w:tbl>
    <w:p w14:paraId="2BD6EA13" w14:textId="77777777" w:rsidR="00A53182" w:rsidRPr="00A53182" w:rsidRDefault="00A53182" w:rsidP="00A53182">
      <w:pPr>
        <w:spacing w:after="0" w:line="240" w:lineRule="auto"/>
        <w:jc w:val="center"/>
        <w:rPr>
          <w:rFonts w:ascii="Times New Roman" w:eastAsia="Times New Roman" w:hAnsi="Times New Roman" w:cs="Times New Roman"/>
        </w:rPr>
      </w:pPr>
    </w:p>
    <w:p w14:paraId="6EDEA2FB" w14:textId="77777777" w:rsidR="00D40FE4" w:rsidRDefault="00D40FE4">
      <w:pPr>
        <w:rPr>
          <w:rFonts w:ascii="Arial" w:hAnsi="Arial" w:cs="Arial"/>
          <w:sz w:val="24"/>
          <w:szCs w:val="24"/>
        </w:rPr>
      </w:pPr>
    </w:p>
    <w:p w14:paraId="6E1F6D58" w14:textId="77777777" w:rsidR="006C68D7" w:rsidRDefault="006C68D7" w:rsidP="002500DE">
      <w:pPr>
        <w:rPr>
          <w:rFonts w:ascii="Arial" w:hAnsi="Arial" w:cs="Arial"/>
          <w:sz w:val="24"/>
          <w:szCs w:val="24"/>
        </w:rPr>
      </w:pPr>
    </w:p>
    <w:p w14:paraId="46B2B40B" w14:textId="77777777" w:rsidR="006C68D7" w:rsidRPr="006C68D7" w:rsidRDefault="006C68D7" w:rsidP="006C68D7">
      <w:pPr>
        <w:rPr>
          <w:rFonts w:ascii="Arial" w:hAnsi="Arial" w:cs="Arial"/>
          <w:sz w:val="24"/>
          <w:szCs w:val="24"/>
        </w:rPr>
      </w:pPr>
    </w:p>
    <w:tbl>
      <w:tblPr>
        <w:tblStyle w:val="TableGrid"/>
        <w:tblpPr w:leftFromText="180" w:rightFromText="180" w:vertAnchor="page" w:horzAnchor="margin" w:tblpY="2131"/>
        <w:tblW w:w="0" w:type="auto"/>
        <w:tblLook w:val="04A0" w:firstRow="1" w:lastRow="0" w:firstColumn="1" w:lastColumn="0" w:noHBand="0" w:noVBand="1"/>
      </w:tblPr>
      <w:tblGrid>
        <w:gridCol w:w="9732"/>
      </w:tblGrid>
      <w:tr w:rsidR="008B0CC4" w:rsidRPr="00A53182" w14:paraId="104F9A2C" w14:textId="77777777" w:rsidTr="008B0CC4">
        <w:tc>
          <w:tcPr>
            <w:tcW w:w="9732" w:type="dxa"/>
            <w:shd w:val="clear" w:color="auto" w:fill="DDD9C3" w:themeFill="background2" w:themeFillShade="E6"/>
          </w:tcPr>
          <w:p w14:paraId="50B1D333" w14:textId="77777777" w:rsidR="008B0CC4" w:rsidRPr="009921FE" w:rsidRDefault="008B0CC4" w:rsidP="008B0CC4">
            <w:pPr>
              <w:jc w:val="center"/>
              <w:rPr>
                <w:rFonts w:eastAsia="Times New Roman" w:cs="Arial"/>
                <w:b/>
                <w:szCs w:val="24"/>
              </w:rPr>
            </w:pPr>
            <w:r w:rsidRPr="009921FE">
              <w:rPr>
                <w:rFonts w:eastAsia="Times New Roman" w:cs="Arial"/>
                <w:b/>
                <w:szCs w:val="24"/>
              </w:rPr>
              <w:lastRenderedPageBreak/>
              <w:t>Person Specification</w:t>
            </w:r>
          </w:p>
          <w:p w14:paraId="51003720" w14:textId="77777777" w:rsidR="008B0CC4" w:rsidRPr="009921FE" w:rsidRDefault="008B0CC4" w:rsidP="008B0CC4">
            <w:pPr>
              <w:jc w:val="center"/>
              <w:rPr>
                <w:rFonts w:eastAsia="Times New Roman" w:cs="Arial"/>
                <w:b/>
                <w:szCs w:val="24"/>
              </w:rPr>
            </w:pPr>
          </w:p>
        </w:tc>
      </w:tr>
      <w:tr w:rsidR="008B0CC4" w:rsidRPr="00A53182" w14:paraId="4A7FA67E" w14:textId="77777777" w:rsidTr="008B0CC4">
        <w:tc>
          <w:tcPr>
            <w:tcW w:w="9732" w:type="dxa"/>
            <w:shd w:val="clear" w:color="auto" w:fill="EEECE1" w:themeFill="background2"/>
          </w:tcPr>
          <w:p w14:paraId="58DA51C4" w14:textId="75122418" w:rsidR="008B0CC4" w:rsidRPr="009921FE" w:rsidRDefault="00325F9D" w:rsidP="007F3374">
            <w:pPr>
              <w:jc w:val="center"/>
              <w:rPr>
                <w:rFonts w:cs="Arial"/>
                <w:b/>
                <w:szCs w:val="24"/>
              </w:rPr>
            </w:pPr>
            <w:r>
              <w:rPr>
                <w:rFonts w:cs="Arial"/>
                <w:b/>
                <w:szCs w:val="24"/>
              </w:rPr>
              <w:t>Head of</w:t>
            </w:r>
            <w:r w:rsidR="007F3374">
              <w:rPr>
                <w:rFonts w:cs="Arial"/>
                <w:b/>
                <w:szCs w:val="24"/>
              </w:rPr>
              <w:t xml:space="preserve"> Data Protection</w:t>
            </w:r>
          </w:p>
        </w:tc>
      </w:tr>
      <w:tr w:rsidR="008B0CC4" w:rsidRPr="00A53182" w14:paraId="49E812B4" w14:textId="77777777" w:rsidTr="008B0CC4">
        <w:tc>
          <w:tcPr>
            <w:tcW w:w="9732" w:type="dxa"/>
          </w:tcPr>
          <w:p w14:paraId="1E2304E5" w14:textId="77777777" w:rsidR="002D6BFD" w:rsidRPr="007F3374" w:rsidRDefault="008B0CC4" w:rsidP="008B0CC4">
            <w:pPr>
              <w:autoSpaceDE w:val="0"/>
              <w:autoSpaceDN w:val="0"/>
              <w:adjustRightInd w:val="0"/>
              <w:contextualSpacing/>
              <w:rPr>
                <w:rFonts w:eastAsia="Times New Roman" w:cs="Arial"/>
                <w:b/>
              </w:rPr>
            </w:pPr>
            <w:r w:rsidRPr="007F3374">
              <w:rPr>
                <w:rFonts w:eastAsia="Times New Roman" w:cs="Arial"/>
                <w:b/>
              </w:rPr>
              <w:t>Essential</w:t>
            </w:r>
          </w:p>
          <w:p w14:paraId="407F85DB" w14:textId="77777777" w:rsidR="007F3374" w:rsidRPr="007F3374" w:rsidRDefault="007F3374" w:rsidP="008B0CC4">
            <w:pPr>
              <w:autoSpaceDE w:val="0"/>
              <w:autoSpaceDN w:val="0"/>
              <w:adjustRightInd w:val="0"/>
              <w:contextualSpacing/>
              <w:rPr>
                <w:rFonts w:eastAsia="Times New Roman" w:cs="Arial"/>
                <w:b/>
              </w:rPr>
            </w:pPr>
          </w:p>
          <w:p w14:paraId="773EF307" w14:textId="77777777" w:rsidR="007F3374" w:rsidRPr="007F3374" w:rsidRDefault="007F3374" w:rsidP="007F3374">
            <w:pPr>
              <w:pStyle w:val="Heading1"/>
              <w:keepLines/>
              <w:numPr>
                <w:ilvl w:val="0"/>
                <w:numId w:val="25"/>
              </w:numPr>
              <w:shd w:val="clear" w:color="auto" w:fill="FFFFFF"/>
              <w:spacing w:line="288" w:lineRule="atLeast"/>
              <w:rPr>
                <w:rFonts w:asciiTheme="minorHAnsi" w:hAnsiTheme="minorHAnsi" w:cs="Arial"/>
                <w:b w:val="0"/>
                <w:sz w:val="22"/>
                <w:szCs w:val="22"/>
              </w:rPr>
            </w:pPr>
            <w:r w:rsidRPr="007F3374">
              <w:rPr>
                <w:rFonts w:asciiTheme="minorHAnsi" w:hAnsiTheme="minorHAnsi" w:cs="Arial"/>
                <w:b w:val="0"/>
                <w:sz w:val="22"/>
                <w:szCs w:val="22"/>
              </w:rPr>
              <w:t xml:space="preserve">Possess extensive and demonstrable knowledge of the key legislation, regulation, good practice guidance and commissioner requirements and their practical implementation in an organisation such as Autism Initiatives.  These are iterative and include, but are not limited to: UK GDPR, EU GDPR, Data Protection Acts (all jurisdictions), Freedom of Information Acts, </w:t>
            </w:r>
            <w:r w:rsidRPr="007F3374">
              <w:rPr>
                <w:rFonts w:asciiTheme="minorHAnsi" w:hAnsiTheme="minorHAnsi" w:cs="Arial"/>
                <w:b w:val="0"/>
                <w:kern w:val="36"/>
                <w:sz w:val="22"/>
                <w:szCs w:val="22"/>
                <w:lang w:eastAsia="en-GB"/>
              </w:rPr>
              <w:t>Privacy and Electronic Communications Regulations 2003 (</w:t>
            </w:r>
            <w:r w:rsidRPr="007F3374">
              <w:rPr>
                <w:rFonts w:asciiTheme="minorHAnsi" w:hAnsiTheme="minorHAnsi" w:cs="Arial"/>
                <w:b w:val="0"/>
                <w:sz w:val="22"/>
                <w:szCs w:val="22"/>
              </w:rPr>
              <w:t>PECR) and equivalents, Common Law Duty of Confidence, Duty of Candour as well as good practice guidance.</w:t>
            </w:r>
          </w:p>
          <w:p w14:paraId="44FE56E4" w14:textId="77777777" w:rsidR="007F3374" w:rsidRPr="007F3374" w:rsidRDefault="007F3374" w:rsidP="007F3374">
            <w:pPr>
              <w:rPr>
                <w:rFonts w:cs="Arial"/>
                <w:u w:val="single"/>
              </w:rPr>
            </w:pPr>
            <w:r w:rsidRPr="007F3374">
              <w:rPr>
                <w:rFonts w:cs="Arial"/>
                <w:u w:val="single"/>
              </w:rPr>
              <w:t>and</w:t>
            </w:r>
          </w:p>
          <w:p w14:paraId="6C5852B3" w14:textId="77777777" w:rsidR="007F3374" w:rsidRPr="007F3374" w:rsidRDefault="007F3374" w:rsidP="007F3374">
            <w:pPr>
              <w:pStyle w:val="ListParagraph"/>
              <w:numPr>
                <w:ilvl w:val="0"/>
                <w:numId w:val="26"/>
              </w:numPr>
              <w:spacing w:after="160" w:line="259" w:lineRule="auto"/>
              <w:rPr>
                <w:rFonts w:cs="Arial"/>
              </w:rPr>
            </w:pPr>
            <w:r w:rsidRPr="007F3374">
              <w:rPr>
                <w:rFonts w:cs="Arial"/>
              </w:rPr>
              <w:t>must have the ability to produce reports and policy and procedural documents and training materials with accuracy and to an acceptable level of clarity and grammar, and to effectively deliver training to all grades of staff.</w:t>
            </w:r>
          </w:p>
          <w:p w14:paraId="1369901F" w14:textId="77777777" w:rsidR="007F3374" w:rsidRPr="007F3374" w:rsidRDefault="007F3374" w:rsidP="007F3374">
            <w:pPr>
              <w:rPr>
                <w:rFonts w:cs="Arial"/>
              </w:rPr>
            </w:pPr>
            <w:r w:rsidRPr="007F3374">
              <w:rPr>
                <w:rFonts w:cs="Arial"/>
                <w:u w:val="single"/>
              </w:rPr>
              <w:t>and</w:t>
            </w:r>
            <w:r w:rsidRPr="007F3374">
              <w:rPr>
                <w:rFonts w:cs="Arial"/>
              </w:rPr>
              <w:t xml:space="preserve"> either:</w:t>
            </w:r>
          </w:p>
          <w:p w14:paraId="53CAA8BD" w14:textId="77777777" w:rsidR="007F3374" w:rsidRPr="007F3374" w:rsidRDefault="007F3374" w:rsidP="007F3374">
            <w:pPr>
              <w:pStyle w:val="ListParagraph"/>
              <w:numPr>
                <w:ilvl w:val="0"/>
                <w:numId w:val="27"/>
              </w:numPr>
              <w:spacing w:after="160" w:line="259" w:lineRule="auto"/>
              <w:rPr>
                <w:rFonts w:cs="Arial"/>
              </w:rPr>
            </w:pPr>
            <w:r w:rsidRPr="007F3374">
              <w:rPr>
                <w:rFonts w:cs="Arial"/>
              </w:rPr>
              <w:t>hold a degree, or post-graduate qualification, in Information Governance, Records Management, Law, or a related discipline and have recent (preferably two years within the past five years*) experience in a similar role.</w:t>
            </w:r>
          </w:p>
          <w:p w14:paraId="20B82C56" w14:textId="77777777" w:rsidR="007F3374" w:rsidRPr="007F3374" w:rsidRDefault="007F3374" w:rsidP="007F3374">
            <w:pPr>
              <w:ind w:left="360"/>
              <w:rPr>
                <w:rFonts w:cs="Arial"/>
              </w:rPr>
            </w:pPr>
            <w:r w:rsidRPr="007F3374">
              <w:rPr>
                <w:rFonts w:cs="Arial"/>
              </w:rPr>
              <w:t>or</w:t>
            </w:r>
          </w:p>
          <w:p w14:paraId="54899244" w14:textId="77777777" w:rsidR="007F3374" w:rsidRPr="007F3374" w:rsidRDefault="007F3374" w:rsidP="007F3374">
            <w:pPr>
              <w:pStyle w:val="ListParagraph"/>
              <w:numPr>
                <w:ilvl w:val="0"/>
                <w:numId w:val="27"/>
              </w:numPr>
              <w:spacing w:after="160" w:line="259" w:lineRule="auto"/>
              <w:rPr>
                <w:rFonts w:cs="Arial"/>
              </w:rPr>
            </w:pPr>
            <w:r w:rsidRPr="007F3374">
              <w:rPr>
                <w:rFonts w:cs="Arial"/>
              </w:rPr>
              <w:t>have at least five years demonstrable experience in a similar role within the past seven years* and attained the ISEB Certificate in Information Security Management or equivalent, and/or the BCS Data Protection Practitioner Certificate or equivalent.</w:t>
            </w:r>
          </w:p>
          <w:p w14:paraId="3CBD2F4B" w14:textId="77777777" w:rsidR="007F3374" w:rsidRPr="007F3374" w:rsidRDefault="007F3374" w:rsidP="007F3374">
            <w:pPr>
              <w:pStyle w:val="ListParagraph"/>
              <w:rPr>
                <w:rFonts w:cs="Arial"/>
              </w:rPr>
            </w:pPr>
          </w:p>
          <w:p w14:paraId="40CC1C00" w14:textId="77777777" w:rsidR="007F3374" w:rsidRPr="007F3374" w:rsidRDefault="007F3374" w:rsidP="007F3374">
            <w:pPr>
              <w:pStyle w:val="ListParagraph"/>
              <w:rPr>
                <w:rFonts w:cs="Arial"/>
                <w:sz w:val="20"/>
              </w:rPr>
            </w:pPr>
            <w:r w:rsidRPr="007F3374">
              <w:rPr>
                <w:rFonts w:cs="Arial"/>
                <w:sz w:val="20"/>
              </w:rPr>
              <w:t xml:space="preserve">*equality adjustments will be considered and may be applied but it must be noted that the particular nature of this role requires the post-holder to have knowledge and experience which are up to date </w:t>
            </w:r>
          </w:p>
          <w:p w14:paraId="715AF7F9" w14:textId="77777777" w:rsidR="009921FE" w:rsidRPr="007F3374" w:rsidRDefault="009921FE" w:rsidP="007F3374">
            <w:pPr>
              <w:autoSpaceDE w:val="0"/>
              <w:autoSpaceDN w:val="0"/>
              <w:adjustRightInd w:val="0"/>
              <w:spacing w:line="360" w:lineRule="auto"/>
              <w:rPr>
                <w:rFonts w:eastAsia="Times New Roman" w:cs="Arial"/>
              </w:rPr>
            </w:pPr>
          </w:p>
        </w:tc>
      </w:tr>
      <w:tr w:rsidR="008B0CC4" w:rsidRPr="00A53182" w14:paraId="2B963B29" w14:textId="77777777" w:rsidTr="008B0CC4">
        <w:trPr>
          <w:trHeight w:val="70"/>
        </w:trPr>
        <w:tc>
          <w:tcPr>
            <w:tcW w:w="9732" w:type="dxa"/>
          </w:tcPr>
          <w:p w14:paraId="672257FC" w14:textId="13CA2F80" w:rsidR="008B0CC4" w:rsidRPr="00391D18" w:rsidRDefault="00DD153B" w:rsidP="00391D18">
            <w:pPr>
              <w:pStyle w:val="BodyText2"/>
              <w:tabs>
                <w:tab w:val="clear" w:pos="720"/>
              </w:tabs>
              <w:ind w:left="0" w:firstLine="0"/>
              <w:jc w:val="left"/>
              <w:rPr>
                <w:rFonts w:asciiTheme="minorHAnsi" w:hAnsiTheme="minorHAnsi"/>
                <w:bCs/>
                <w:sz w:val="22"/>
                <w:szCs w:val="22"/>
              </w:rPr>
            </w:pPr>
            <w:r w:rsidRPr="00391D18">
              <w:rPr>
                <w:rFonts w:asciiTheme="minorHAnsi" w:hAnsiTheme="minorHAnsi"/>
                <w:b/>
                <w:bCs/>
                <w:sz w:val="22"/>
                <w:szCs w:val="22"/>
              </w:rPr>
              <w:t>Date reviewed:</w:t>
            </w:r>
            <w:r w:rsidRPr="00391D18">
              <w:rPr>
                <w:rFonts w:asciiTheme="minorHAnsi" w:hAnsiTheme="minorHAnsi"/>
                <w:bCs/>
                <w:sz w:val="22"/>
                <w:szCs w:val="22"/>
              </w:rPr>
              <w:t xml:space="preserve"> </w:t>
            </w:r>
            <w:r w:rsidR="00325F9D">
              <w:rPr>
                <w:rFonts w:asciiTheme="minorHAnsi" w:hAnsiTheme="minorHAnsi"/>
                <w:bCs/>
                <w:sz w:val="22"/>
                <w:szCs w:val="22"/>
              </w:rPr>
              <w:t>January 2025</w:t>
            </w:r>
          </w:p>
        </w:tc>
      </w:tr>
    </w:tbl>
    <w:p w14:paraId="3D685ADA" w14:textId="77777777" w:rsidR="00FF112F" w:rsidRPr="00AF32F5" w:rsidRDefault="00FF112F" w:rsidP="004A6F1F">
      <w:pPr>
        <w:spacing w:after="0" w:line="240" w:lineRule="auto"/>
        <w:rPr>
          <w:rFonts w:ascii="Arial" w:hAnsi="Arial" w:cs="Arial"/>
        </w:rPr>
      </w:pPr>
    </w:p>
    <w:sectPr w:rsidR="00FF112F" w:rsidRPr="00AF32F5" w:rsidSect="00DA762A">
      <w:headerReference w:type="default" r:id="rId7"/>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58D5" w14:textId="77777777" w:rsidR="00601F92" w:rsidRDefault="00601F92" w:rsidP="00601F92">
      <w:pPr>
        <w:spacing w:after="0" w:line="240" w:lineRule="auto"/>
      </w:pPr>
      <w:r>
        <w:separator/>
      </w:r>
    </w:p>
  </w:endnote>
  <w:endnote w:type="continuationSeparator" w:id="0">
    <w:p w14:paraId="74C7E641" w14:textId="77777777" w:rsidR="00601F92" w:rsidRDefault="00601F92" w:rsidP="0060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450A" w14:textId="77777777" w:rsidR="00601F92" w:rsidRDefault="00601F92" w:rsidP="00601F92">
      <w:pPr>
        <w:spacing w:after="0" w:line="240" w:lineRule="auto"/>
      </w:pPr>
      <w:r>
        <w:separator/>
      </w:r>
    </w:p>
  </w:footnote>
  <w:footnote w:type="continuationSeparator" w:id="0">
    <w:p w14:paraId="75E88831" w14:textId="77777777" w:rsidR="00601F92" w:rsidRDefault="00601F92" w:rsidP="00601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226A" w14:textId="77777777" w:rsidR="00601F92" w:rsidRDefault="00601F92">
    <w:pPr>
      <w:pStyle w:val="Header"/>
    </w:pPr>
    <w:r>
      <w:rPr>
        <w:noProof/>
        <w:lang w:eastAsia="en-GB"/>
      </w:rPr>
      <w:drawing>
        <wp:anchor distT="0" distB="0" distL="114300" distR="114300" simplePos="0" relativeHeight="251657216" behindDoc="0" locked="0" layoutInCell="1" allowOverlap="1" wp14:anchorId="21B2DE8C" wp14:editId="66106CE9">
          <wp:simplePos x="0" y="0"/>
          <wp:positionH relativeFrom="margin">
            <wp:align>center</wp:align>
          </wp:positionH>
          <wp:positionV relativeFrom="paragraph">
            <wp:posOffset>-78740</wp:posOffset>
          </wp:positionV>
          <wp:extent cx="2028825" cy="767080"/>
          <wp:effectExtent l="0" t="0" r="9525" b="0"/>
          <wp:wrapSquare wrapText="bothSides"/>
          <wp:docPr id="4" name="Picture 4" descr="Description: C:\Users\Rita.James\AppData\Local\Microsoft\Windows\Temporary Internet Files\Content.Word\AI logo no 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ita.James\AppData\Local\Microsoft\Windows\Temporary Internet Files\Content.Word\AI logo no U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767080"/>
                  </a:xfrm>
                  <a:prstGeom prst="rect">
                    <a:avLst/>
                  </a:prstGeom>
                  <a:noFill/>
                  <a:ln>
                    <a:noFill/>
                  </a:ln>
                </pic:spPr>
              </pic:pic>
            </a:graphicData>
          </a:graphic>
        </wp:anchor>
      </w:drawing>
    </w:r>
  </w:p>
  <w:p w14:paraId="7AE9149F" w14:textId="77777777" w:rsidR="00601F92" w:rsidRDefault="00601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F6D"/>
    <w:multiLevelType w:val="hybridMultilevel"/>
    <w:tmpl w:val="9C9C9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2D31B6"/>
    <w:multiLevelType w:val="hybridMultilevel"/>
    <w:tmpl w:val="974C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30704"/>
    <w:multiLevelType w:val="hybridMultilevel"/>
    <w:tmpl w:val="75F4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813B5"/>
    <w:multiLevelType w:val="hybridMultilevel"/>
    <w:tmpl w:val="5F5E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57C32"/>
    <w:multiLevelType w:val="hybridMultilevel"/>
    <w:tmpl w:val="C8EEE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556CD"/>
    <w:multiLevelType w:val="hybridMultilevel"/>
    <w:tmpl w:val="5A7C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D1AEB"/>
    <w:multiLevelType w:val="singleLevel"/>
    <w:tmpl w:val="30A0E81A"/>
    <w:lvl w:ilvl="0">
      <w:start w:val="1"/>
      <w:numFmt w:val="bullet"/>
      <w:lvlText w:val=""/>
      <w:lvlJc w:val="left"/>
      <w:pPr>
        <w:tabs>
          <w:tab w:val="num" w:pos="851"/>
        </w:tabs>
        <w:ind w:left="851" w:hanging="851"/>
      </w:pPr>
      <w:rPr>
        <w:rFonts w:ascii="Wingdings" w:hAnsi="Wingdings" w:hint="default"/>
      </w:rPr>
    </w:lvl>
  </w:abstractNum>
  <w:abstractNum w:abstractNumId="7" w15:restartNumberingAfterBreak="0">
    <w:nsid w:val="20D11E5A"/>
    <w:multiLevelType w:val="hybridMultilevel"/>
    <w:tmpl w:val="364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12E22"/>
    <w:multiLevelType w:val="hybridMultilevel"/>
    <w:tmpl w:val="203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577B4"/>
    <w:multiLevelType w:val="hybridMultilevel"/>
    <w:tmpl w:val="0DB6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B09B2"/>
    <w:multiLevelType w:val="hybridMultilevel"/>
    <w:tmpl w:val="20D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10E80"/>
    <w:multiLevelType w:val="hybridMultilevel"/>
    <w:tmpl w:val="F7C0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17C"/>
    <w:multiLevelType w:val="hybridMultilevel"/>
    <w:tmpl w:val="5CD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65A3C"/>
    <w:multiLevelType w:val="hybridMultilevel"/>
    <w:tmpl w:val="E464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331AE"/>
    <w:multiLevelType w:val="hybridMultilevel"/>
    <w:tmpl w:val="1E260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A63B0"/>
    <w:multiLevelType w:val="hybridMultilevel"/>
    <w:tmpl w:val="3A0426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EC5914"/>
    <w:multiLevelType w:val="hybridMultilevel"/>
    <w:tmpl w:val="5B8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354690"/>
    <w:multiLevelType w:val="hybridMultilevel"/>
    <w:tmpl w:val="FE6AD124"/>
    <w:lvl w:ilvl="0" w:tplc="CEA8775A">
      <w:start w:val="1"/>
      <w:numFmt w:val="decimal"/>
      <w:lvlText w:val="%1."/>
      <w:lvlJc w:val="left"/>
      <w:pPr>
        <w:ind w:left="720" w:hanging="360"/>
      </w:pPr>
      <w:rPr>
        <w:rFonts w:asciiTheme="minorHAnsi" w:hAnsiTheme="minorHAnsi" w:hint="default"/>
        <w:b/>
        <w:strike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369B6"/>
    <w:multiLevelType w:val="hybridMultilevel"/>
    <w:tmpl w:val="5AEA30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19664E"/>
    <w:multiLevelType w:val="hybridMultilevel"/>
    <w:tmpl w:val="F60CED0E"/>
    <w:lvl w:ilvl="0" w:tplc="C70472BC">
      <w:start w:val="1"/>
      <w:numFmt w:val="bullet"/>
      <w:lvlText w:val=""/>
      <w:lvlJc w:val="left"/>
      <w:pPr>
        <w:ind w:left="360" w:hanging="360"/>
      </w:pPr>
      <w:rPr>
        <w:rFonts w:ascii="Symbol" w:hAnsi="Symbo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E960ED"/>
    <w:multiLevelType w:val="hybridMultilevel"/>
    <w:tmpl w:val="79540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535D3E"/>
    <w:multiLevelType w:val="hybridMultilevel"/>
    <w:tmpl w:val="A9F4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831F0"/>
    <w:multiLevelType w:val="hybridMultilevel"/>
    <w:tmpl w:val="C174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15608"/>
    <w:multiLevelType w:val="hybridMultilevel"/>
    <w:tmpl w:val="7750C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805BE2"/>
    <w:multiLevelType w:val="hybridMultilevel"/>
    <w:tmpl w:val="5BA6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54105"/>
    <w:multiLevelType w:val="hybridMultilevel"/>
    <w:tmpl w:val="D6BC6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0E236D"/>
    <w:multiLevelType w:val="hybridMultilevel"/>
    <w:tmpl w:val="AB62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234963">
    <w:abstractNumId w:val="7"/>
  </w:num>
  <w:num w:numId="2" w16cid:durableId="500203129">
    <w:abstractNumId w:val="22"/>
  </w:num>
  <w:num w:numId="3" w16cid:durableId="1592470629">
    <w:abstractNumId w:val="3"/>
  </w:num>
  <w:num w:numId="4" w16cid:durableId="1740055088">
    <w:abstractNumId w:val="6"/>
  </w:num>
  <w:num w:numId="5" w16cid:durableId="923303847">
    <w:abstractNumId w:val="14"/>
  </w:num>
  <w:num w:numId="6" w16cid:durableId="1997413677">
    <w:abstractNumId w:val="23"/>
  </w:num>
  <w:num w:numId="7" w16cid:durableId="1344745853">
    <w:abstractNumId w:val="15"/>
  </w:num>
  <w:num w:numId="8" w16cid:durableId="922640618">
    <w:abstractNumId w:val="4"/>
  </w:num>
  <w:num w:numId="9" w16cid:durableId="1238827914">
    <w:abstractNumId w:val="11"/>
  </w:num>
  <w:num w:numId="10" w16cid:durableId="1901481346">
    <w:abstractNumId w:val="10"/>
  </w:num>
  <w:num w:numId="11" w16cid:durableId="427194525">
    <w:abstractNumId w:val="13"/>
  </w:num>
  <w:num w:numId="12" w16cid:durableId="1800566808">
    <w:abstractNumId w:val="25"/>
  </w:num>
  <w:num w:numId="13" w16cid:durableId="1923054570">
    <w:abstractNumId w:val="8"/>
  </w:num>
  <w:num w:numId="14" w16cid:durableId="573861344">
    <w:abstractNumId w:val="12"/>
  </w:num>
  <w:num w:numId="15" w16cid:durableId="1048183672">
    <w:abstractNumId w:val="26"/>
  </w:num>
  <w:num w:numId="16" w16cid:durableId="1220702574">
    <w:abstractNumId w:val="21"/>
  </w:num>
  <w:num w:numId="17" w16cid:durableId="1547990601">
    <w:abstractNumId w:val="1"/>
  </w:num>
  <w:num w:numId="18" w16cid:durableId="2018002617">
    <w:abstractNumId w:val="17"/>
  </w:num>
  <w:num w:numId="19" w16cid:durableId="1480613211">
    <w:abstractNumId w:val="20"/>
  </w:num>
  <w:num w:numId="20" w16cid:durableId="1992057448">
    <w:abstractNumId w:val="19"/>
  </w:num>
  <w:num w:numId="21" w16cid:durableId="793329701">
    <w:abstractNumId w:val="16"/>
  </w:num>
  <w:num w:numId="22" w16cid:durableId="2085107240">
    <w:abstractNumId w:val="0"/>
  </w:num>
  <w:num w:numId="23" w16cid:durableId="1964772582">
    <w:abstractNumId w:val="9"/>
  </w:num>
  <w:num w:numId="24" w16cid:durableId="380984467">
    <w:abstractNumId w:val="5"/>
  </w:num>
  <w:num w:numId="25" w16cid:durableId="666709859">
    <w:abstractNumId w:val="24"/>
  </w:num>
  <w:num w:numId="26" w16cid:durableId="1578592955">
    <w:abstractNumId w:val="2"/>
  </w:num>
  <w:num w:numId="27" w16cid:durableId="11856981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A8"/>
    <w:rsid w:val="00004F02"/>
    <w:rsid w:val="000112BE"/>
    <w:rsid w:val="0001387F"/>
    <w:rsid w:val="00016B81"/>
    <w:rsid w:val="000329BD"/>
    <w:rsid w:val="000409A0"/>
    <w:rsid w:val="00050A79"/>
    <w:rsid w:val="00060097"/>
    <w:rsid w:val="000615B2"/>
    <w:rsid w:val="000636DA"/>
    <w:rsid w:val="000658BC"/>
    <w:rsid w:val="00095C14"/>
    <w:rsid w:val="000B0097"/>
    <w:rsid w:val="000C4EAE"/>
    <w:rsid w:val="000C63B8"/>
    <w:rsid w:val="0010487B"/>
    <w:rsid w:val="00123282"/>
    <w:rsid w:val="001A7A95"/>
    <w:rsid w:val="001C6A8E"/>
    <w:rsid w:val="001D1944"/>
    <w:rsid w:val="001D4C0E"/>
    <w:rsid w:val="001E4220"/>
    <w:rsid w:val="0023335B"/>
    <w:rsid w:val="0023434A"/>
    <w:rsid w:val="002450C2"/>
    <w:rsid w:val="002500DE"/>
    <w:rsid w:val="00286193"/>
    <w:rsid w:val="00290ADF"/>
    <w:rsid w:val="00293668"/>
    <w:rsid w:val="002B0119"/>
    <w:rsid w:val="002D6BFD"/>
    <w:rsid w:val="002F0981"/>
    <w:rsid w:val="002F4314"/>
    <w:rsid w:val="002F7F94"/>
    <w:rsid w:val="003009C2"/>
    <w:rsid w:val="0032111D"/>
    <w:rsid w:val="0032221A"/>
    <w:rsid w:val="00325F9D"/>
    <w:rsid w:val="00341BB4"/>
    <w:rsid w:val="0034653E"/>
    <w:rsid w:val="0035378E"/>
    <w:rsid w:val="00361807"/>
    <w:rsid w:val="00363B9C"/>
    <w:rsid w:val="00382B32"/>
    <w:rsid w:val="00391D18"/>
    <w:rsid w:val="003A6316"/>
    <w:rsid w:val="003D491E"/>
    <w:rsid w:val="003E3F92"/>
    <w:rsid w:val="003E5EF9"/>
    <w:rsid w:val="00412B95"/>
    <w:rsid w:val="00424D8E"/>
    <w:rsid w:val="004269E0"/>
    <w:rsid w:val="00426CBE"/>
    <w:rsid w:val="004476B6"/>
    <w:rsid w:val="004569C5"/>
    <w:rsid w:val="00487016"/>
    <w:rsid w:val="004A6F1F"/>
    <w:rsid w:val="004D67BF"/>
    <w:rsid w:val="004E16BB"/>
    <w:rsid w:val="00501EB0"/>
    <w:rsid w:val="00534F39"/>
    <w:rsid w:val="00540B70"/>
    <w:rsid w:val="0057249B"/>
    <w:rsid w:val="00581409"/>
    <w:rsid w:val="005A070F"/>
    <w:rsid w:val="005B08EB"/>
    <w:rsid w:val="005F4CB9"/>
    <w:rsid w:val="00601F92"/>
    <w:rsid w:val="006235C1"/>
    <w:rsid w:val="00625C19"/>
    <w:rsid w:val="00651A8B"/>
    <w:rsid w:val="00684FA7"/>
    <w:rsid w:val="0069369D"/>
    <w:rsid w:val="00694059"/>
    <w:rsid w:val="006B6808"/>
    <w:rsid w:val="006C4B9F"/>
    <w:rsid w:val="006C68D7"/>
    <w:rsid w:val="006C6F21"/>
    <w:rsid w:val="006D7984"/>
    <w:rsid w:val="006F380C"/>
    <w:rsid w:val="0071441C"/>
    <w:rsid w:val="007150E8"/>
    <w:rsid w:val="007179D7"/>
    <w:rsid w:val="00730F00"/>
    <w:rsid w:val="00757445"/>
    <w:rsid w:val="0076638E"/>
    <w:rsid w:val="00796FC1"/>
    <w:rsid w:val="007975EE"/>
    <w:rsid w:val="007A7A06"/>
    <w:rsid w:val="007B22E5"/>
    <w:rsid w:val="007C1DDA"/>
    <w:rsid w:val="007D78E4"/>
    <w:rsid w:val="007F3374"/>
    <w:rsid w:val="00801FEC"/>
    <w:rsid w:val="00802120"/>
    <w:rsid w:val="008249DB"/>
    <w:rsid w:val="00877551"/>
    <w:rsid w:val="008801B7"/>
    <w:rsid w:val="008A029F"/>
    <w:rsid w:val="008A0F33"/>
    <w:rsid w:val="008B0CC4"/>
    <w:rsid w:val="008E0068"/>
    <w:rsid w:val="008E46AD"/>
    <w:rsid w:val="008F0348"/>
    <w:rsid w:val="00906E7E"/>
    <w:rsid w:val="00915B91"/>
    <w:rsid w:val="00922013"/>
    <w:rsid w:val="0093113E"/>
    <w:rsid w:val="009469FB"/>
    <w:rsid w:val="009921FE"/>
    <w:rsid w:val="00A0782C"/>
    <w:rsid w:val="00A233F7"/>
    <w:rsid w:val="00A350D2"/>
    <w:rsid w:val="00A3683E"/>
    <w:rsid w:val="00A3703D"/>
    <w:rsid w:val="00A53182"/>
    <w:rsid w:val="00A6034B"/>
    <w:rsid w:val="00A61154"/>
    <w:rsid w:val="00A65001"/>
    <w:rsid w:val="00A834A6"/>
    <w:rsid w:val="00A91107"/>
    <w:rsid w:val="00AB23F2"/>
    <w:rsid w:val="00AB330B"/>
    <w:rsid w:val="00AE1CD3"/>
    <w:rsid w:val="00AE6A86"/>
    <w:rsid w:val="00AF32F5"/>
    <w:rsid w:val="00B41808"/>
    <w:rsid w:val="00B4201F"/>
    <w:rsid w:val="00B56F1A"/>
    <w:rsid w:val="00B65D41"/>
    <w:rsid w:val="00B665C7"/>
    <w:rsid w:val="00B94AB4"/>
    <w:rsid w:val="00B95693"/>
    <w:rsid w:val="00BA50BF"/>
    <w:rsid w:val="00BE1A64"/>
    <w:rsid w:val="00C000DA"/>
    <w:rsid w:val="00C00817"/>
    <w:rsid w:val="00C14FA8"/>
    <w:rsid w:val="00C1514E"/>
    <w:rsid w:val="00C16D00"/>
    <w:rsid w:val="00C2048D"/>
    <w:rsid w:val="00C70C65"/>
    <w:rsid w:val="00C73677"/>
    <w:rsid w:val="00C743A8"/>
    <w:rsid w:val="00C81FBE"/>
    <w:rsid w:val="00C958AF"/>
    <w:rsid w:val="00CC264E"/>
    <w:rsid w:val="00D0393D"/>
    <w:rsid w:val="00D256B4"/>
    <w:rsid w:val="00D40122"/>
    <w:rsid w:val="00D40FE4"/>
    <w:rsid w:val="00D52DC3"/>
    <w:rsid w:val="00D81042"/>
    <w:rsid w:val="00D8613F"/>
    <w:rsid w:val="00DA01DF"/>
    <w:rsid w:val="00DA762A"/>
    <w:rsid w:val="00DA7828"/>
    <w:rsid w:val="00DD153B"/>
    <w:rsid w:val="00DE4B33"/>
    <w:rsid w:val="00E0314E"/>
    <w:rsid w:val="00E45BA4"/>
    <w:rsid w:val="00E5581D"/>
    <w:rsid w:val="00E8204F"/>
    <w:rsid w:val="00EA3CEA"/>
    <w:rsid w:val="00EB549E"/>
    <w:rsid w:val="00EB58A1"/>
    <w:rsid w:val="00EB70FD"/>
    <w:rsid w:val="00EF5569"/>
    <w:rsid w:val="00F60EFF"/>
    <w:rsid w:val="00F73128"/>
    <w:rsid w:val="00F73DFE"/>
    <w:rsid w:val="00FA062F"/>
    <w:rsid w:val="00FC09F3"/>
    <w:rsid w:val="00FD693A"/>
    <w:rsid w:val="00FF11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4BEE88"/>
  <w15:docId w15:val="{F9087A5F-BFA9-4846-BE6E-9500BD29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A8"/>
  </w:style>
  <w:style w:type="paragraph" w:styleId="Heading1">
    <w:name w:val="heading 1"/>
    <w:basedOn w:val="Normal"/>
    <w:next w:val="Normal"/>
    <w:link w:val="Heading1Char"/>
    <w:qFormat/>
    <w:rsid w:val="00FF112F"/>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Recommendatio,List Paragraph11,List Paragraph21,Bullet Style,3,Bulle,Normal number,Párrafo de lista,Recommendation,Proposal Bullet List,TOC style,Table,_Bullet,2,Normal numbere,List Paragrap,Colorful List - Accent 12,Bullet"/>
    <w:basedOn w:val="Normal"/>
    <w:link w:val="ListParagraphChar"/>
    <w:uiPriority w:val="34"/>
    <w:qFormat/>
    <w:rsid w:val="00C14FA8"/>
    <w:pPr>
      <w:ind w:left="720"/>
      <w:contextualSpacing/>
    </w:pPr>
  </w:style>
  <w:style w:type="paragraph" w:styleId="Header">
    <w:name w:val="header"/>
    <w:basedOn w:val="Normal"/>
    <w:link w:val="HeaderChar"/>
    <w:uiPriority w:val="99"/>
    <w:unhideWhenUsed/>
    <w:rsid w:val="00C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A8"/>
  </w:style>
  <w:style w:type="paragraph" w:styleId="BalloonText">
    <w:name w:val="Balloon Text"/>
    <w:basedOn w:val="Normal"/>
    <w:link w:val="BalloonTextChar"/>
    <w:uiPriority w:val="99"/>
    <w:semiHidden/>
    <w:unhideWhenUsed/>
    <w:rsid w:val="00050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79"/>
    <w:rPr>
      <w:rFonts w:ascii="Tahoma" w:hAnsi="Tahoma" w:cs="Tahoma"/>
      <w:sz w:val="16"/>
      <w:szCs w:val="16"/>
    </w:rPr>
  </w:style>
  <w:style w:type="paragraph" w:styleId="BodyText2">
    <w:name w:val="Body Text 2"/>
    <w:basedOn w:val="Normal"/>
    <w:link w:val="BodyText2Char"/>
    <w:rsid w:val="00730F00"/>
    <w:pPr>
      <w:tabs>
        <w:tab w:val="left" w:pos="-720"/>
        <w:tab w:val="left" w:pos="0"/>
        <w:tab w:val="left" w:pos="720"/>
      </w:tabs>
      <w:suppressAutoHyphens/>
      <w:spacing w:after="0" w:line="240" w:lineRule="auto"/>
      <w:ind w:left="1440" w:hanging="720"/>
      <w:jc w:val="both"/>
    </w:pPr>
    <w:rPr>
      <w:rFonts w:ascii="Akzidenz Grotesk Light" w:eastAsia="Times New Roman" w:hAnsi="Akzidenz Grotesk Light" w:cs="Times New Roman"/>
      <w:sz w:val="24"/>
      <w:szCs w:val="20"/>
    </w:rPr>
  </w:style>
  <w:style w:type="character" w:customStyle="1" w:styleId="BodyText2Char">
    <w:name w:val="Body Text 2 Char"/>
    <w:basedOn w:val="DefaultParagraphFont"/>
    <w:link w:val="BodyText2"/>
    <w:rsid w:val="00730F00"/>
    <w:rPr>
      <w:rFonts w:ascii="Akzidenz Grotesk Light" w:eastAsia="Times New Roman" w:hAnsi="Akzidenz Grotesk Light" w:cs="Times New Roman"/>
      <w:sz w:val="24"/>
      <w:szCs w:val="20"/>
    </w:rPr>
  </w:style>
  <w:style w:type="paragraph" w:styleId="Footer">
    <w:name w:val="footer"/>
    <w:basedOn w:val="Normal"/>
    <w:link w:val="FooterChar"/>
    <w:uiPriority w:val="99"/>
    <w:unhideWhenUsed/>
    <w:rsid w:val="00601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F92"/>
  </w:style>
  <w:style w:type="paragraph" w:styleId="BodyTextIndent">
    <w:name w:val="Body Text Indent"/>
    <w:basedOn w:val="Normal"/>
    <w:link w:val="BodyTextIndentChar"/>
    <w:uiPriority w:val="99"/>
    <w:semiHidden/>
    <w:unhideWhenUsed/>
    <w:rsid w:val="00FF112F"/>
    <w:pPr>
      <w:spacing w:after="120"/>
      <w:ind w:left="283"/>
    </w:pPr>
  </w:style>
  <w:style w:type="character" w:customStyle="1" w:styleId="BodyTextIndentChar">
    <w:name w:val="Body Text Indent Char"/>
    <w:basedOn w:val="DefaultParagraphFont"/>
    <w:link w:val="BodyTextIndent"/>
    <w:uiPriority w:val="99"/>
    <w:semiHidden/>
    <w:rsid w:val="00FF112F"/>
  </w:style>
  <w:style w:type="character" w:customStyle="1" w:styleId="Heading1Char">
    <w:name w:val="Heading 1 Char"/>
    <w:basedOn w:val="DefaultParagraphFont"/>
    <w:link w:val="Heading1"/>
    <w:rsid w:val="00FF112F"/>
    <w:rPr>
      <w:rFonts w:ascii="Times New Roman" w:eastAsia="Times New Roman" w:hAnsi="Times New Roman" w:cs="Times New Roman"/>
      <w:b/>
      <w:bCs/>
      <w:sz w:val="24"/>
      <w:szCs w:val="24"/>
    </w:rPr>
  </w:style>
  <w:style w:type="paragraph" w:styleId="BodyText">
    <w:name w:val="Body Text"/>
    <w:basedOn w:val="Normal"/>
    <w:link w:val="BodyTextChar"/>
    <w:rsid w:val="00FF112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F112F"/>
    <w:rPr>
      <w:rFonts w:ascii="Times New Roman" w:eastAsia="Times New Roman" w:hAnsi="Times New Roman" w:cs="Times New Roman"/>
      <w:sz w:val="24"/>
      <w:szCs w:val="24"/>
    </w:rPr>
  </w:style>
  <w:style w:type="paragraph" w:styleId="Title">
    <w:name w:val="Title"/>
    <w:basedOn w:val="Normal"/>
    <w:link w:val="TitleChar"/>
    <w:qFormat/>
    <w:rsid w:val="00424D8E"/>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24D8E"/>
    <w:rPr>
      <w:rFonts w:ascii="Times New Roman" w:eastAsia="Times New Roman" w:hAnsi="Times New Roman" w:cs="Times New Roman"/>
      <w:b/>
      <w:bCs/>
      <w:sz w:val="28"/>
      <w:szCs w:val="24"/>
      <w:u w:val="single"/>
    </w:rPr>
  </w:style>
  <w:style w:type="paragraph" w:customStyle="1" w:styleId="Default">
    <w:name w:val="Default"/>
    <w:rsid w:val="00BE1A6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OBC Bullet Char,L Char,Recommendatio Char,List Paragraph11 Char,List Paragraph21 Char,Bullet Style Char,3 Char,Bulle Char,Normal number Char,Párrafo de lista Char,Recommendation Char,Proposal Bullet List Char,TOC style Char,2 Char"/>
    <w:basedOn w:val="DefaultParagraphFont"/>
    <w:link w:val="ListParagraph"/>
    <w:uiPriority w:val="34"/>
    <w:locked/>
    <w:rsid w:val="00E0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748">
      <w:bodyDiv w:val="1"/>
      <w:marLeft w:val="0"/>
      <w:marRight w:val="0"/>
      <w:marTop w:val="0"/>
      <w:marBottom w:val="0"/>
      <w:divBdr>
        <w:top w:val="none" w:sz="0" w:space="0" w:color="auto"/>
        <w:left w:val="none" w:sz="0" w:space="0" w:color="auto"/>
        <w:bottom w:val="none" w:sz="0" w:space="0" w:color="auto"/>
        <w:right w:val="none" w:sz="0" w:space="0" w:color="auto"/>
      </w:divBdr>
    </w:div>
    <w:div w:id="237598588">
      <w:bodyDiv w:val="1"/>
      <w:marLeft w:val="0"/>
      <w:marRight w:val="0"/>
      <w:marTop w:val="0"/>
      <w:marBottom w:val="0"/>
      <w:divBdr>
        <w:top w:val="none" w:sz="0" w:space="0" w:color="auto"/>
        <w:left w:val="none" w:sz="0" w:space="0" w:color="auto"/>
        <w:bottom w:val="none" w:sz="0" w:space="0" w:color="auto"/>
        <w:right w:val="none" w:sz="0" w:space="0" w:color="auto"/>
      </w:divBdr>
    </w:div>
    <w:div w:id="287006985">
      <w:bodyDiv w:val="1"/>
      <w:marLeft w:val="0"/>
      <w:marRight w:val="0"/>
      <w:marTop w:val="0"/>
      <w:marBottom w:val="0"/>
      <w:divBdr>
        <w:top w:val="none" w:sz="0" w:space="0" w:color="auto"/>
        <w:left w:val="none" w:sz="0" w:space="0" w:color="auto"/>
        <w:bottom w:val="none" w:sz="0" w:space="0" w:color="auto"/>
        <w:right w:val="none" w:sz="0" w:space="0" w:color="auto"/>
      </w:divBdr>
    </w:div>
    <w:div w:id="300237910">
      <w:bodyDiv w:val="1"/>
      <w:marLeft w:val="0"/>
      <w:marRight w:val="0"/>
      <w:marTop w:val="0"/>
      <w:marBottom w:val="0"/>
      <w:divBdr>
        <w:top w:val="none" w:sz="0" w:space="0" w:color="auto"/>
        <w:left w:val="none" w:sz="0" w:space="0" w:color="auto"/>
        <w:bottom w:val="none" w:sz="0" w:space="0" w:color="auto"/>
        <w:right w:val="none" w:sz="0" w:space="0" w:color="auto"/>
      </w:divBdr>
    </w:div>
    <w:div w:id="1192186968">
      <w:bodyDiv w:val="1"/>
      <w:marLeft w:val="0"/>
      <w:marRight w:val="0"/>
      <w:marTop w:val="0"/>
      <w:marBottom w:val="0"/>
      <w:divBdr>
        <w:top w:val="none" w:sz="0" w:space="0" w:color="auto"/>
        <w:left w:val="none" w:sz="0" w:space="0" w:color="auto"/>
        <w:bottom w:val="none" w:sz="0" w:space="0" w:color="auto"/>
        <w:right w:val="none" w:sz="0" w:space="0" w:color="auto"/>
      </w:divBdr>
    </w:div>
    <w:div w:id="1278873351">
      <w:bodyDiv w:val="1"/>
      <w:marLeft w:val="0"/>
      <w:marRight w:val="0"/>
      <w:marTop w:val="0"/>
      <w:marBottom w:val="0"/>
      <w:divBdr>
        <w:top w:val="none" w:sz="0" w:space="0" w:color="auto"/>
        <w:left w:val="none" w:sz="0" w:space="0" w:color="auto"/>
        <w:bottom w:val="none" w:sz="0" w:space="0" w:color="auto"/>
        <w:right w:val="none" w:sz="0" w:space="0" w:color="auto"/>
      </w:divBdr>
    </w:div>
    <w:div w:id="1597909055">
      <w:bodyDiv w:val="1"/>
      <w:marLeft w:val="0"/>
      <w:marRight w:val="0"/>
      <w:marTop w:val="0"/>
      <w:marBottom w:val="0"/>
      <w:divBdr>
        <w:top w:val="none" w:sz="0" w:space="0" w:color="auto"/>
        <w:left w:val="none" w:sz="0" w:space="0" w:color="auto"/>
        <w:bottom w:val="none" w:sz="0" w:space="0" w:color="auto"/>
        <w:right w:val="none" w:sz="0" w:space="0" w:color="auto"/>
      </w:divBdr>
    </w:div>
    <w:div w:id="16924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1729</Words>
  <Characters>9859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James</dc:creator>
  <cp:lastModifiedBy>Jessica Rens</cp:lastModifiedBy>
  <cp:revision>2</cp:revision>
  <cp:lastPrinted>2016-03-07T13:19:00Z</cp:lastPrinted>
  <dcterms:created xsi:type="dcterms:W3CDTF">2025-01-20T09:50:00Z</dcterms:created>
  <dcterms:modified xsi:type="dcterms:W3CDTF">2025-01-20T09:50:00Z</dcterms:modified>
</cp:coreProperties>
</file>